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37DF" w14:textId="77777777" w:rsidR="00A25B7B" w:rsidRDefault="00A25B7B" w:rsidP="00A25B7B">
      <w:pPr>
        <w:pStyle w:val="Heading2"/>
      </w:pPr>
      <w:bookmarkStart w:id="0" w:name="_GoBack"/>
      <w:bookmarkEnd w:id="0"/>
      <w:r>
        <w:t xml:space="preserve">Natural Therapies Review 2019-2020 </w:t>
      </w:r>
    </w:p>
    <w:p w14:paraId="2A6D5EBF" w14:textId="34E493E3" w:rsidR="00D71E37" w:rsidRDefault="00A25B7B" w:rsidP="00A25B7B">
      <w:pPr>
        <w:pStyle w:val="Heading3"/>
      </w:pPr>
      <w:r>
        <w:t xml:space="preserve">Notes – </w:t>
      </w:r>
      <w:r w:rsidR="008D6572">
        <w:t>3</w:t>
      </w:r>
      <w:r w:rsidR="008D6572" w:rsidRPr="008D6572">
        <w:rPr>
          <w:vertAlign w:val="superscript"/>
        </w:rPr>
        <w:t>rd</w:t>
      </w:r>
      <w:r w:rsidR="008D6572">
        <w:t xml:space="preserve"> </w:t>
      </w:r>
      <w:r>
        <w:t xml:space="preserve">Stakeholder engagement/update teleconference </w:t>
      </w:r>
      <w:r w:rsidR="00BC25E2">
        <w:t>31/1/2020</w:t>
      </w:r>
    </w:p>
    <w:p w14:paraId="59DD52C3" w14:textId="45F49D22" w:rsidR="00A25B7B" w:rsidRDefault="00A25B7B">
      <w:r>
        <w:t>11.30am – 12.30pm (CST)</w:t>
      </w:r>
    </w:p>
    <w:p w14:paraId="543CFBB7" w14:textId="29D1C979" w:rsidR="0053600F" w:rsidRPr="0053600F" w:rsidRDefault="0053600F" w:rsidP="0053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53600F">
        <w:rPr>
          <w:b/>
          <w:bCs/>
          <w:i/>
          <w:iCs/>
        </w:rPr>
        <w:t xml:space="preserve">Note </w:t>
      </w:r>
      <w:r>
        <w:rPr>
          <w:b/>
          <w:bCs/>
          <w:i/>
          <w:iCs/>
        </w:rPr>
        <w:t>–</w:t>
      </w:r>
      <w:r w:rsidRPr="0053600F">
        <w:rPr>
          <w:b/>
          <w:bCs/>
          <w:i/>
          <w:iCs/>
        </w:rPr>
        <w:t xml:space="preserve"> The</w:t>
      </w:r>
      <w:r>
        <w:rPr>
          <w:b/>
          <w:bCs/>
          <w:i/>
          <w:iCs/>
        </w:rPr>
        <w:t xml:space="preserve"> following</w:t>
      </w:r>
      <w:r w:rsidRPr="0053600F">
        <w:rPr>
          <w:b/>
          <w:bCs/>
          <w:i/>
          <w:iCs/>
        </w:rPr>
        <w:t xml:space="preserve"> notes </w:t>
      </w:r>
      <w:r>
        <w:rPr>
          <w:b/>
          <w:bCs/>
          <w:i/>
          <w:iCs/>
        </w:rPr>
        <w:t>of the teleconference content</w:t>
      </w:r>
      <w:r w:rsidRPr="0053600F">
        <w:rPr>
          <w:b/>
          <w:bCs/>
          <w:i/>
          <w:iCs/>
        </w:rPr>
        <w:t xml:space="preserve"> were taken for </w:t>
      </w:r>
      <w:r w:rsidR="004E7E2F">
        <w:rPr>
          <w:b/>
          <w:bCs/>
          <w:i/>
          <w:iCs/>
        </w:rPr>
        <w:t xml:space="preserve">summary </w:t>
      </w:r>
      <w:r w:rsidRPr="0053600F">
        <w:rPr>
          <w:b/>
          <w:bCs/>
          <w:i/>
          <w:iCs/>
        </w:rPr>
        <w:t xml:space="preserve">information purposes only and </w:t>
      </w:r>
      <w:r w:rsidR="004E7E2F">
        <w:rPr>
          <w:b/>
          <w:bCs/>
          <w:i/>
          <w:iCs/>
        </w:rPr>
        <w:t>are</w:t>
      </w:r>
      <w:r w:rsidRPr="0053600F">
        <w:rPr>
          <w:b/>
          <w:bCs/>
          <w:i/>
          <w:iCs/>
        </w:rPr>
        <w:t xml:space="preserve"> an attempt to capture the key points raised or discussed. </w:t>
      </w:r>
      <w:r w:rsidR="004E7E2F">
        <w:rPr>
          <w:b/>
          <w:bCs/>
          <w:i/>
          <w:iCs/>
        </w:rPr>
        <w:t>Due to the</w:t>
      </w:r>
      <w:r>
        <w:rPr>
          <w:b/>
          <w:bCs/>
          <w:i/>
          <w:iCs/>
        </w:rPr>
        <w:t xml:space="preserve"> many participants in the teleconference at times it was difficult to hear all comments or questions. </w:t>
      </w:r>
      <w:r w:rsidR="004E7E2F">
        <w:rPr>
          <w:b/>
          <w:bCs/>
          <w:i/>
          <w:iCs/>
        </w:rPr>
        <w:t>Whilst every attempt was made to ensure accuracy, t</w:t>
      </w:r>
      <w:r>
        <w:rPr>
          <w:b/>
          <w:bCs/>
          <w:i/>
          <w:iCs/>
        </w:rPr>
        <w:t xml:space="preserve">he notes </w:t>
      </w:r>
      <w:r w:rsidR="004E7E2F">
        <w:rPr>
          <w:b/>
          <w:bCs/>
          <w:i/>
          <w:iCs/>
        </w:rPr>
        <w:t xml:space="preserve">should </w:t>
      </w:r>
      <w:r w:rsidRPr="0053600F">
        <w:rPr>
          <w:b/>
          <w:bCs/>
          <w:i/>
          <w:iCs/>
        </w:rPr>
        <w:t>not</w:t>
      </w:r>
      <w:r w:rsidR="004E7E2F">
        <w:rPr>
          <w:b/>
          <w:bCs/>
          <w:i/>
          <w:iCs/>
        </w:rPr>
        <w:t xml:space="preserve"> be </w:t>
      </w:r>
      <w:r w:rsidR="00BC25E2">
        <w:rPr>
          <w:b/>
          <w:bCs/>
          <w:i/>
          <w:iCs/>
        </w:rPr>
        <w:t>taken as</w:t>
      </w:r>
      <w:r w:rsidRPr="0053600F">
        <w:rPr>
          <w:b/>
          <w:bCs/>
          <w:i/>
          <w:iCs/>
        </w:rPr>
        <w:t xml:space="preserve"> a verbatim transcript of the teleconference </w:t>
      </w:r>
      <w:r w:rsidR="00BC25E2">
        <w:rPr>
          <w:b/>
          <w:bCs/>
          <w:i/>
          <w:iCs/>
        </w:rPr>
        <w:t>discussion</w:t>
      </w:r>
      <w:r w:rsidRPr="0053600F">
        <w:rPr>
          <w:b/>
          <w:bCs/>
          <w:i/>
          <w:iCs/>
        </w:rPr>
        <w:t xml:space="preserve"> and </w:t>
      </w:r>
      <w:r w:rsidR="004E7E2F">
        <w:rPr>
          <w:b/>
          <w:bCs/>
          <w:i/>
          <w:iCs/>
        </w:rPr>
        <w:t>the content must</w:t>
      </w:r>
      <w:r w:rsidRPr="0053600F">
        <w:rPr>
          <w:b/>
          <w:bCs/>
          <w:i/>
          <w:iCs/>
        </w:rPr>
        <w:t xml:space="preserve"> be considered in this light. </w:t>
      </w:r>
    </w:p>
    <w:p w14:paraId="25077BDB" w14:textId="4884E24A" w:rsidR="00A25B7B" w:rsidRDefault="00A25B7B" w:rsidP="004E7E2F">
      <w:pPr>
        <w:pStyle w:val="Heading2"/>
        <w:spacing w:before="0" w:line="240" w:lineRule="auto"/>
      </w:pPr>
      <w:r>
        <w:t xml:space="preserve">1. Present: </w:t>
      </w:r>
    </w:p>
    <w:p w14:paraId="70F21C4A" w14:textId="5A05A829" w:rsidR="00A25B7B" w:rsidRPr="00A25B7B" w:rsidRDefault="00A25B7B" w:rsidP="004E7E2F">
      <w:pPr>
        <w:spacing w:after="0" w:line="240" w:lineRule="auto"/>
        <w:rPr>
          <w:rFonts w:eastAsia="Times New Roman" w:cstheme="minorHAnsi"/>
          <w:color w:val="333333"/>
          <w:lang w:eastAsia="en-AU"/>
        </w:rPr>
      </w:pPr>
      <w:r w:rsidRPr="00A25B7B">
        <w:rPr>
          <w:b/>
          <w:bCs/>
        </w:rPr>
        <w:t>Teleconference Chair</w:t>
      </w:r>
      <w:r>
        <w:t xml:space="preserve"> –</w:t>
      </w:r>
      <w:r w:rsidRPr="00A25B7B">
        <w:rPr>
          <w:rFonts w:eastAsia="Times New Roman" w:cstheme="minorHAnsi"/>
          <w:color w:val="333333"/>
          <w:lang w:eastAsia="en-AU"/>
        </w:rPr>
        <w:t>Department of Health</w:t>
      </w:r>
      <w:r w:rsidR="00E5478E">
        <w:rPr>
          <w:rFonts w:eastAsia="Times New Roman" w:cstheme="minorHAnsi"/>
          <w:color w:val="333333"/>
          <w:lang w:eastAsia="en-AU"/>
        </w:rPr>
        <w:t xml:space="preserve"> Representative</w:t>
      </w:r>
    </w:p>
    <w:p w14:paraId="76540B70" w14:textId="27017946" w:rsidR="00A25B7B" w:rsidRDefault="00A25B7B">
      <w:r w:rsidRPr="00A25B7B">
        <w:rPr>
          <w:b/>
          <w:bCs/>
        </w:rPr>
        <w:t>Department of Health representatives</w:t>
      </w:r>
      <w:r>
        <w:t xml:space="preserve"> – </w:t>
      </w:r>
      <w:r w:rsidR="00BC25E2">
        <w:t>Pauline</w:t>
      </w:r>
      <w:r>
        <w:t>, Phil</w:t>
      </w:r>
    </w:p>
    <w:p w14:paraId="037ABBBD" w14:textId="25F3C5C5" w:rsidR="00A25B7B" w:rsidRDefault="0091087D" w:rsidP="004E7E2F">
      <w:pPr>
        <w:pStyle w:val="Heading4"/>
      </w:pPr>
      <w:r>
        <w:t xml:space="preserve">1.1 </w:t>
      </w:r>
      <w:r w:rsidR="00E720B7">
        <w:t>Indication</w:t>
      </w:r>
      <w:r>
        <w:t xml:space="preserve"> of s</w:t>
      </w:r>
      <w:r w:rsidR="00A25B7B">
        <w:t xml:space="preserve">takeholder Organisations </w:t>
      </w:r>
      <w:r>
        <w:t>that</w:t>
      </w:r>
      <w:r w:rsidR="00A25B7B">
        <w:t xml:space="preserve"> </w:t>
      </w:r>
      <w:r w:rsidR="0038022D">
        <w:t xml:space="preserve">had representatives </w:t>
      </w:r>
      <w:r w:rsidR="00A25B7B">
        <w:t>online</w:t>
      </w:r>
      <w:r>
        <w:rPr>
          <w:rStyle w:val="FootnoteReference"/>
        </w:rPr>
        <w:footnoteReference w:id="1"/>
      </w:r>
      <w:r w:rsidR="00A25B7B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C216E3" w:rsidRPr="00A25B7B" w14:paraId="243EC6B8" w14:textId="77777777" w:rsidTr="0040360B">
        <w:tc>
          <w:tcPr>
            <w:tcW w:w="5665" w:type="dxa"/>
          </w:tcPr>
          <w:p w14:paraId="2B957957" w14:textId="6ECAF3B0" w:rsidR="00C216E3" w:rsidRPr="00A25B7B" w:rsidRDefault="00C216E3" w:rsidP="00A25B7B">
            <w:pPr>
              <w:rPr>
                <w:b/>
                <w:bCs/>
              </w:rPr>
            </w:pPr>
            <w:r w:rsidRPr="00A25B7B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 xml:space="preserve">Organisation </w:t>
            </w:r>
            <w:r w:rsidRPr="00A25B7B">
              <w:rPr>
                <w:b/>
                <w:bCs/>
              </w:rPr>
              <w:t xml:space="preserve"> </w:t>
            </w:r>
          </w:p>
        </w:tc>
      </w:tr>
      <w:tr w:rsidR="00C216E3" w14:paraId="692E78B1" w14:textId="77777777" w:rsidTr="0040360B">
        <w:tc>
          <w:tcPr>
            <w:tcW w:w="5665" w:type="dxa"/>
          </w:tcPr>
          <w:p w14:paraId="6BCB1696" w14:textId="3698AC75" w:rsidR="00C216E3" w:rsidRDefault="00C216E3" w:rsidP="00A25B7B">
            <w:r>
              <w:t xml:space="preserve">Australian Register of Practitioners Nutrition </w:t>
            </w:r>
          </w:p>
        </w:tc>
      </w:tr>
      <w:tr w:rsidR="00C216E3" w14:paraId="03DD1B8A" w14:textId="77777777" w:rsidTr="0040360B">
        <w:tc>
          <w:tcPr>
            <w:tcW w:w="5665" w:type="dxa"/>
          </w:tcPr>
          <w:p w14:paraId="5D182F58" w14:textId="1956C975" w:rsidR="00C216E3" w:rsidRDefault="00C216E3" w:rsidP="00A25B7B">
            <w:r>
              <w:t xml:space="preserve">Australian College of Sports and Exercise </w:t>
            </w:r>
          </w:p>
        </w:tc>
      </w:tr>
      <w:tr w:rsidR="00C216E3" w14:paraId="788962F4" w14:textId="77777777" w:rsidTr="00E62B6E">
        <w:tc>
          <w:tcPr>
            <w:tcW w:w="5665" w:type="dxa"/>
          </w:tcPr>
          <w:p w14:paraId="1901E3B5" w14:textId="77777777" w:rsidR="00C216E3" w:rsidRDefault="00C216E3" w:rsidP="00E62B6E">
            <w:r>
              <w:t xml:space="preserve">Australian Homeopathy Association </w:t>
            </w:r>
          </w:p>
        </w:tc>
      </w:tr>
      <w:tr w:rsidR="00C216E3" w14:paraId="5F7E5615" w14:textId="77777777" w:rsidTr="005866A3">
        <w:tc>
          <w:tcPr>
            <w:tcW w:w="5665" w:type="dxa"/>
          </w:tcPr>
          <w:p w14:paraId="6982F1AC" w14:textId="77777777" w:rsidR="00C216E3" w:rsidRDefault="00C216E3" w:rsidP="005866A3">
            <w:r>
              <w:t xml:space="preserve">Australian Institute of Kinesiology </w:t>
            </w:r>
          </w:p>
        </w:tc>
      </w:tr>
      <w:tr w:rsidR="00C216E3" w14:paraId="08A06488" w14:textId="77777777" w:rsidTr="0040360B">
        <w:tc>
          <w:tcPr>
            <w:tcW w:w="5665" w:type="dxa"/>
          </w:tcPr>
          <w:p w14:paraId="3CEA6E90" w14:textId="639C5AFC" w:rsidR="00C216E3" w:rsidRDefault="00C216E3" w:rsidP="00A25B7B">
            <w:r>
              <w:t xml:space="preserve">Australian Naturopathic Practitioners Assoc. </w:t>
            </w:r>
          </w:p>
        </w:tc>
      </w:tr>
      <w:tr w:rsidR="00C216E3" w14:paraId="7B1787A2" w14:textId="77777777" w:rsidTr="0040360B">
        <w:tc>
          <w:tcPr>
            <w:tcW w:w="5665" w:type="dxa"/>
          </w:tcPr>
          <w:p w14:paraId="4E6B07D0" w14:textId="634C4CE9" w:rsidR="00C216E3" w:rsidRDefault="00C216E3" w:rsidP="00A25B7B">
            <w:r>
              <w:t xml:space="preserve">Australian Physio Assoc. </w:t>
            </w:r>
          </w:p>
        </w:tc>
      </w:tr>
      <w:tr w:rsidR="00C216E3" w14:paraId="7C9ABBDA" w14:textId="77777777" w:rsidTr="000C3FB3">
        <w:tc>
          <w:tcPr>
            <w:tcW w:w="5665" w:type="dxa"/>
          </w:tcPr>
          <w:p w14:paraId="21A61C5C" w14:textId="0B9BC91B" w:rsidR="00C216E3" w:rsidRDefault="00C216E3" w:rsidP="000C3FB3">
            <w:r>
              <w:t xml:space="preserve">Australian Society of Teachers of the Alexander Technique </w:t>
            </w:r>
          </w:p>
        </w:tc>
      </w:tr>
      <w:tr w:rsidR="00C216E3" w14:paraId="57259DDF" w14:textId="77777777" w:rsidTr="000C3FB3">
        <w:tc>
          <w:tcPr>
            <w:tcW w:w="5665" w:type="dxa"/>
          </w:tcPr>
          <w:p w14:paraId="57259082" w14:textId="6ECECC06" w:rsidR="00C216E3" w:rsidRDefault="00C216E3" w:rsidP="000C3FB3">
            <w:r>
              <w:t xml:space="preserve">Australian Traditional Medicine Soc. </w:t>
            </w:r>
          </w:p>
        </w:tc>
      </w:tr>
      <w:tr w:rsidR="00C216E3" w14:paraId="2F87FEB8" w14:textId="77777777" w:rsidTr="000C3FB3">
        <w:tc>
          <w:tcPr>
            <w:tcW w:w="5665" w:type="dxa"/>
          </w:tcPr>
          <w:p w14:paraId="59265B43" w14:textId="74B2C681" w:rsidR="00C216E3" w:rsidRDefault="00C216E3" w:rsidP="000C3FB3">
            <w:r>
              <w:t xml:space="preserve">Bowen Association Australia </w:t>
            </w:r>
          </w:p>
        </w:tc>
      </w:tr>
      <w:tr w:rsidR="00C216E3" w14:paraId="31C92528" w14:textId="77777777" w:rsidTr="000C3FB3">
        <w:tc>
          <w:tcPr>
            <w:tcW w:w="5665" w:type="dxa"/>
          </w:tcPr>
          <w:p w14:paraId="0F43A978" w14:textId="4CE4927A" w:rsidR="00C216E3" w:rsidRDefault="00C216E3" w:rsidP="000C3FB3">
            <w:r>
              <w:t xml:space="preserve">Bowen Therapists Association Australia </w:t>
            </w:r>
          </w:p>
        </w:tc>
      </w:tr>
      <w:tr w:rsidR="00C216E3" w14:paraId="6AAAE813" w14:textId="77777777" w:rsidTr="000C3FB3">
        <w:tc>
          <w:tcPr>
            <w:tcW w:w="5665" w:type="dxa"/>
          </w:tcPr>
          <w:p w14:paraId="0CA32ABA" w14:textId="29405E81" w:rsidR="00C216E3" w:rsidRDefault="00C216E3" w:rsidP="000C3FB3">
            <w:r>
              <w:t>Choice</w:t>
            </w:r>
          </w:p>
        </w:tc>
      </w:tr>
      <w:tr w:rsidR="00C216E3" w14:paraId="4F10BF86" w14:textId="77777777" w:rsidTr="000C3FB3">
        <w:tc>
          <w:tcPr>
            <w:tcW w:w="5665" w:type="dxa"/>
          </w:tcPr>
          <w:p w14:paraId="39961E2F" w14:textId="6397ED59" w:rsidR="00C216E3" w:rsidRDefault="00C216E3" w:rsidP="000C3FB3">
            <w:r>
              <w:t xml:space="preserve">Complementary Medicine Assoc. </w:t>
            </w:r>
          </w:p>
        </w:tc>
      </w:tr>
      <w:tr w:rsidR="00C216E3" w14:paraId="345550E5" w14:textId="77777777" w:rsidTr="0040360B">
        <w:tc>
          <w:tcPr>
            <w:tcW w:w="5665" w:type="dxa"/>
          </w:tcPr>
          <w:p w14:paraId="12F3F6F2" w14:textId="06F1BCE4" w:rsidR="00C216E3" w:rsidRDefault="00C216E3" w:rsidP="00A25B7B">
            <w:r>
              <w:t xml:space="preserve">Consumers Health Forum </w:t>
            </w:r>
          </w:p>
        </w:tc>
      </w:tr>
      <w:tr w:rsidR="00C216E3" w14:paraId="6E5CE851" w14:textId="77777777" w:rsidTr="0040360B">
        <w:tc>
          <w:tcPr>
            <w:tcW w:w="5665" w:type="dxa"/>
          </w:tcPr>
          <w:p w14:paraId="51D9A9F0" w14:textId="3B6F3D63" w:rsidR="00C216E3" w:rsidRDefault="00C216E3" w:rsidP="00A25B7B">
            <w:r>
              <w:t xml:space="preserve">Friends of Science and Medicine </w:t>
            </w:r>
          </w:p>
        </w:tc>
      </w:tr>
      <w:tr w:rsidR="00C216E3" w14:paraId="5DCDA5EB" w14:textId="77777777" w:rsidTr="000C3FB3">
        <w:tc>
          <w:tcPr>
            <w:tcW w:w="5665" w:type="dxa"/>
          </w:tcPr>
          <w:p w14:paraId="3592DA4E" w14:textId="47EFCCC6" w:rsidR="00C216E3" w:rsidRDefault="00C216E3" w:rsidP="000C3FB3">
            <w:r>
              <w:t xml:space="preserve">Homeopath Medicine Institute </w:t>
            </w:r>
          </w:p>
        </w:tc>
      </w:tr>
      <w:tr w:rsidR="00C216E3" w14:paraId="372CABAE" w14:textId="77777777" w:rsidTr="000C3FB3">
        <w:tc>
          <w:tcPr>
            <w:tcW w:w="5665" w:type="dxa"/>
          </w:tcPr>
          <w:p w14:paraId="3563226E" w14:textId="1021380F" w:rsidR="00C216E3" w:rsidRDefault="008D6572" w:rsidP="000C3FB3">
            <w:r>
              <w:t xml:space="preserve">Inga Yoga </w:t>
            </w:r>
          </w:p>
        </w:tc>
      </w:tr>
      <w:tr w:rsidR="00C216E3" w14:paraId="1F872DD9" w14:textId="77777777" w:rsidTr="000C3FB3">
        <w:tc>
          <w:tcPr>
            <w:tcW w:w="5665" w:type="dxa"/>
          </w:tcPr>
          <w:p w14:paraId="47C30442" w14:textId="330F8990" w:rsidR="00C216E3" w:rsidRDefault="008D6572" w:rsidP="000C3FB3">
            <w:r>
              <w:t xml:space="preserve">Naturopath Associations Australia </w:t>
            </w:r>
          </w:p>
        </w:tc>
      </w:tr>
      <w:tr w:rsidR="00C216E3" w14:paraId="521D0AC4" w14:textId="77777777" w:rsidTr="000C3FB3">
        <w:tc>
          <w:tcPr>
            <w:tcW w:w="5665" w:type="dxa"/>
          </w:tcPr>
          <w:p w14:paraId="1FF69774" w14:textId="2157F5E5" w:rsidR="00C216E3" w:rsidRDefault="008D6572" w:rsidP="000C3FB3">
            <w:r>
              <w:t xml:space="preserve">Pilates Alliance Australia </w:t>
            </w:r>
          </w:p>
        </w:tc>
      </w:tr>
      <w:tr w:rsidR="008D6572" w14:paraId="3E3279C8" w14:textId="77777777" w:rsidTr="000C3FB3">
        <w:tc>
          <w:tcPr>
            <w:tcW w:w="5665" w:type="dxa"/>
          </w:tcPr>
          <w:p w14:paraId="0AAD8776" w14:textId="1900EB87" w:rsidR="008D6572" w:rsidRDefault="008D6572" w:rsidP="000C3FB3">
            <w:r>
              <w:t xml:space="preserve">Shiatsu Association </w:t>
            </w:r>
          </w:p>
        </w:tc>
      </w:tr>
      <w:tr w:rsidR="008D6572" w14:paraId="347708D2" w14:textId="77777777" w:rsidTr="000C3FB3">
        <w:tc>
          <w:tcPr>
            <w:tcW w:w="5665" w:type="dxa"/>
          </w:tcPr>
          <w:p w14:paraId="3176C52C" w14:textId="2F7A3B58" w:rsidR="008D6572" w:rsidRDefault="008D6572" w:rsidP="000C3FB3">
            <w:r>
              <w:t xml:space="preserve">Thai Chi Assoc. </w:t>
            </w:r>
          </w:p>
        </w:tc>
      </w:tr>
      <w:tr w:rsidR="008D6572" w14:paraId="5A227302" w14:textId="77777777" w:rsidTr="000C3FB3">
        <w:tc>
          <w:tcPr>
            <w:tcW w:w="5665" w:type="dxa"/>
          </w:tcPr>
          <w:p w14:paraId="7F437668" w14:textId="150912D9" w:rsidR="008D6572" w:rsidRDefault="008D6572" w:rsidP="000C3FB3">
            <w:r>
              <w:t xml:space="preserve">Yoga Aust. </w:t>
            </w:r>
          </w:p>
        </w:tc>
      </w:tr>
      <w:tr w:rsidR="008D6572" w14:paraId="65F908E5" w14:textId="77777777" w:rsidTr="000C3FB3">
        <w:tc>
          <w:tcPr>
            <w:tcW w:w="5665" w:type="dxa"/>
          </w:tcPr>
          <w:p w14:paraId="76A2FE0C" w14:textId="047B4DE0" w:rsidR="008D6572" w:rsidRDefault="008D6572" w:rsidP="000C3FB3">
            <w:r>
              <w:t xml:space="preserve">Australian Regional Health Group </w:t>
            </w:r>
          </w:p>
        </w:tc>
      </w:tr>
      <w:tr w:rsidR="008D6572" w14:paraId="6112D3C8" w14:textId="77777777" w:rsidTr="000C3FB3">
        <w:tc>
          <w:tcPr>
            <w:tcW w:w="5665" w:type="dxa"/>
          </w:tcPr>
          <w:p w14:paraId="1DD720D2" w14:textId="2A02A3D1" w:rsidR="008D6572" w:rsidRDefault="008D6572" w:rsidP="000C3FB3">
            <w:r>
              <w:t xml:space="preserve">? Health Insurance </w:t>
            </w:r>
          </w:p>
        </w:tc>
      </w:tr>
      <w:tr w:rsidR="00C216E3" w14:paraId="1E127AC6" w14:textId="77777777" w:rsidTr="000C3FB3">
        <w:tc>
          <w:tcPr>
            <w:tcW w:w="5665" w:type="dxa"/>
          </w:tcPr>
          <w:p w14:paraId="3F32E1F0" w14:textId="31C28F12" w:rsidR="00C216E3" w:rsidRDefault="008D6572" w:rsidP="000C3FB3">
            <w:r>
              <w:t xml:space="preserve">HBA </w:t>
            </w:r>
          </w:p>
        </w:tc>
      </w:tr>
    </w:tbl>
    <w:p w14:paraId="4096CDB9" w14:textId="4F27F46B" w:rsidR="0091087D" w:rsidRDefault="0091087D" w:rsidP="0091087D">
      <w:pPr>
        <w:pStyle w:val="Heading3"/>
      </w:pPr>
      <w:r>
        <w:lastRenderedPageBreak/>
        <w:t xml:space="preserve">2. Purpose of Stakeholder engagement teleconferences:  </w:t>
      </w:r>
    </w:p>
    <w:p w14:paraId="24025C44" w14:textId="60BC2EA9" w:rsidR="0091087D" w:rsidRDefault="0091087D">
      <w:r>
        <w:t xml:space="preserve">To provide stakeholders with processes and progress of 2019-20 review only.  Stakeholders were encouraged to use the Secretariat mailbox for email communication with the Review team. </w:t>
      </w:r>
      <w:r w:rsidR="008D6572">
        <w:t>The 31/1/2020 meeting was the third Stakeholder Update teleconference and follows the 3</w:t>
      </w:r>
      <w:r w:rsidR="008D6572" w:rsidRPr="008D6572">
        <w:rPr>
          <w:vertAlign w:val="superscript"/>
        </w:rPr>
        <w:t>rd</w:t>
      </w:r>
      <w:r w:rsidR="008D6572">
        <w:t xml:space="preserve"> meeting of the Natural Therapies Expert Panel on 16/1/2020.  Outcomes of the meeting are published on the Department Natural Therapies Review website at: </w:t>
      </w:r>
      <w:hyperlink r:id="rId8" w:history="1">
        <w:r w:rsidR="008D6572">
          <w:rPr>
            <w:rStyle w:val="Hyperlink"/>
          </w:rPr>
          <w:t>https://www.health.gov.au/resources/publications/ntreap-meeting-outcomes-16-january-2020</w:t>
        </w:r>
      </w:hyperlink>
      <w:r w:rsidR="008D6572">
        <w:t xml:space="preserve">. </w:t>
      </w:r>
    </w:p>
    <w:p w14:paraId="3B1636E3" w14:textId="13F6D80F" w:rsidR="0091087D" w:rsidRDefault="0091087D" w:rsidP="0091087D">
      <w:pPr>
        <w:pStyle w:val="Heading3"/>
      </w:pPr>
      <w:r>
        <w:t xml:space="preserve">3. </w:t>
      </w:r>
      <w:r w:rsidR="008D6572">
        <w:t>Status of work on Research Protocols for Tranche 1</w:t>
      </w:r>
      <w:r>
        <w:t xml:space="preserve">: </w:t>
      </w:r>
    </w:p>
    <w:p w14:paraId="7FCB617B" w14:textId="7B435E64" w:rsidR="0038022D" w:rsidRPr="0038022D" w:rsidRDefault="0038022D" w:rsidP="0038022D">
      <w:pPr>
        <w:pStyle w:val="ListParagraph"/>
        <w:numPr>
          <w:ilvl w:val="0"/>
          <w:numId w:val="7"/>
        </w:numPr>
      </w:pPr>
      <w:r>
        <w:t xml:space="preserve">Tranche 1 includes: </w:t>
      </w:r>
      <w:r w:rsidR="004D20AB">
        <w:t xml:space="preserve">Naturopathy, Western Herbalism, Yoga, Tai Chi, Pilates and Shiatsu. </w:t>
      </w:r>
    </w:p>
    <w:p w14:paraId="282CCFAE" w14:textId="00BB4D7A" w:rsidR="008D6572" w:rsidRDefault="00553B1C" w:rsidP="000867F8">
      <w:pPr>
        <w:pStyle w:val="ListParagraph"/>
        <w:numPr>
          <w:ilvl w:val="0"/>
          <w:numId w:val="7"/>
        </w:numPr>
      </w:pPr>
      <w:r>
        <w:t xml:space="preserve">Protocols yet to be finalised for Tranche 1 – still being discussed. </w:t>
      </w:r>
      <w:r w:rsidR="008D6572">
        <w:t xml:space="preserve">Draft research protocols considered on 16/1/2020 with Panel giving feedback to NHMRC and working with experts to finalise. </w:t>
      </w:r>
    </w:p>
    <w:p w14:paraId="7AF837A8" w14:textId="6374ED1B" w:rsidR="008D6572" w:rsidRDefault="008D6572" w:rsidP="008D6572">
      <w:pPr>
        <w:pStyle w:val="ListParagraph"/>
        <w:numPr>
          <w:ilvl w:val="0"/>
          <w:numId w:val="7"/>
        </w:numPr>
      </w:pPr>
      <w:r>
        <w:t xml:space="preserve">When research protocols </w:t>
      </w:r>
      <w:proofErr w:type="gramStart"/>
      <w:r>
        <w:t>finalised</w:t>
      </w:r>
      <w:proofErr w:type="gramEnd"/>
      <w:r>
        <w:t xml:space="preserve"> they will be published on NHMRC </w:t>
      </w:r>
      <w:r w:rsidR="00553B1C">
        <w:t xml:space="preserve">portal – anticipated they are to be published in next couple of weeks. </w:t>
      </w:r>
    </w:p>
    <w:p w14:paraId="17B91295" w14:textId="223F83A0" w:rsidR="00553B1C" w:rsidRDefault="00553B1C" w:rsidP="00553B1C">
      <w:pPr>
        <w:pStyle w:val="Heading4"/>
        <w:ind w:left="720"/>
      </w:pPr>
      <w:r>
        <w:t xml:space="preserve">3.1 What experts looking at in issues raised: </w:t>
      </w:r>
    </w:p>
    <w:p w14:paraId="79A9530F" w14:textId="07516928" w:rsidR="00553B1C" w:rsidRDefault="00553B1C" w:rsidP="00553B1C">
      <w:pPr>
        <w:pStyle w:val="ListParagraph"/>
        <w:numPr>
          <w:ilvl w:val="0"/>
          <w:numId w:val="8"/>
        </w:numPr>
      </w:pPr>
      <w:r>
        <w:t xml:space="preserve">Ensuring issues discussed </w:t>
      </w:r>
    </w:p>
    <w:p w14:paraId="593BD44F" w14:textId="0ECA7C06" w:rsidR="00553B1C" w:rsidRDefault="00553B1C" w:rsidP="00553B1C">
      <w:pPr>
        <w:pStyle w:val="ListParagraph"/>
        <w:numPr>
          <w:ilvl w:val="0"/>
          <w:numId w:val="8"/>
        </w:numPr>
      </w:pPr>
      <w:r>
        <w:t>Protocols consistent</w:t>
      </w:r>
    </w:p>
    <w:p w14:paraId="0904BC83" w14:textId="6218C0A8" w:rsidR="00553B1C" w:rsidRDefault="00553B1C" w:rsidP="00553B1C">
      <w:pPr>
        <w:pStyle w:val="ListParagraph"/>
        <w:numPr>
          <w:ilvl w:val="0"/>
          <w:numId w:val="8"/>
        </w:numPr>
      </w:pPr>
      <w:r>
        <w:t xml:space="preserve">Consistent treatment of variation across therapies </w:t>
      </w:r>
    </w:p>
    <w:p w14:paraId="6AA3DDA5" w14:textId="3924A261" w:rsidR="00553B1C" w:rsidRDefault="00553B1C" w:rsidP="00553B1C">
      <w:pPr>
        <w:pStyle w:val="ListParagraph"/>
        <w:numPr>
          <w:ilvl w:val="0"/>
          <w:numId w:val="8"/>
        </w:numPr>
      </w:pPr>
      <w:r>
        <w:t>Types of usual care</w:t>
      </w:r>
    </w:p>
    <w:p w14:paraId="4D764266" w14:textId="7891AA1E" w:rsidR="00553B1C" w:rsidRDefault="00553B1C" w:rsidP="00553B1C">
      <w:pPr>
        <w:pStyle w:val="ListParagraph"/>
        <w:numPr>
          <w:ilvl w:val="0"/>
          <w:numId w:val="8"/>
        </w:numPr>
      </w:pPr>
      <w:r>
        <w:t xml:space="preserve">Consideration of things like quality of life and health and wellbeing used as outcomes measures </w:t>
      </w:r>
    </w:p>
    <w:p w14:paraId="2D8C0C62" w14:textId="77777777" w:rsidR="00553B1C" w:rsidRDefault="00553B1C" w:rsidP="00553B1C">
      <w:pPr>
        <w:pStyle w:val="Heading4"/>
        <w:ind w:left="720"/>
      </w:pPr>
      <w:r>
        <w:t>3.2 Discussion of exclusions outside scope of review</w:t>
      </w:r>
    </w:p>
    <w:p w14:paraId="07383890" w14:textId="04C0CABB" w:rsidR="00553B1C" w:rsidRDefault="00553B1C" w:rsidP="00553B1C">
      <w:pPr>
        <w:pStyle w:val="ListParagraph"/>
        <w:numPr>
          <w:ilvl w:val="0"/>
          <w:numId w:val="11"/>
        </w:numPr>
      </w:pPr>
      <w:r>
        <w:t xml:space="preserve">Patient reported exp measures </w:t>
      </w:r>
    </w:p>
    <w:p w14:paraId="732E290B" w14:textId="2BDC5E39" w:rsidR="00553B1C" w:rsidRDefault="00553B1C" w:rsidP="00553B1C">
      <w:pPr>
        <w:pStyle w:val="ListParagraph"/>
        <w:numPr>
          <w:ilvl w:val="0"/>
          <w:numId w:val="11"/>
        </w:numPr>
      </w:pPr>
      <w:r>
        <w:t xml:space="preserve">Reports of small studies </w:t>
      </w:r>
    </w:p>
    <w:p w14:paraId="40176D49" w14:textId="0F0FE07A" w:rsidR="00553B1C" w:rsidRDefault="00553B1C" w:rsidP="00553B1C">
      <w:pPr>
        <w:pStyle w:val="ListParagraph"/>
        <w:numPr>
          <w:ilvl w:val="0"/>
          <w:numId w:val="11"/>
        </w:numPr>
      </w:pPr>
      <w:r>
        <w:t xml:space="preserve">Terms to clarify – variation across therapies </w:t>
      </w:r>
    </w:p>
    <w:p w14:paraId="0B5D71B2" w14:textId="3C6314A5" w:rsidR="00553B1C" w:rsidRDefault="00BC394E" w:rsidP="00BC394E">
      <w:pPr>
        <w:pStyle w:val="Heading4"/>
        <w:ind w:left="720"/>
      </w:pPr>
      <w:r>
        <w:t>3.3</w:t>
      </w:r>
      <w:r w:rsidR="00553B1C">
        <w:t>. Questions and Comments</w:t>
      </w:r>
      <w:r>
        <w:t xml:space="preserve"> on above</w:t>
      </w:r>
      <w:r w:rsidR="00553B1C">
        <w:t xml:space="preserve">: </w:t>
      </w:r>
    </w:p>
    <w:p w14:paraId="2D2EC3E4" w14:textId="30BFC9DF" w:rsidR="00553B1C" w:rsidRPr="00553B1C" w:rsidRDefault="00553B1C" w:rsidP="00BC394E">
      <w:pPr>
        <w:ind w:left="720"/>
      </w:pPr>
      <w:r w:rsidRPr="00BC394E">
        <w:rPr>
          <w:b/>
          <w:bCs/>
          <w:i/>
          <w:iCs/>
        </w:rPr>
        <w:t>Q</w:t>
      </w:r>
      <w:r w:rsidR="00BC394E" w:rsidRPr="00BC394E">
        <w:rPr>
          <w:b/>
          <w:bCs/>
          <w:i/>
          <w:iCs/>
        </w:rPr>
        <w:t>. stakeholder</w:t>
      </w:r>
      <w:r w:rsidRPr="00553B1C">
        <w:rPr>
          <w:i/>
          <w:iCs/>
        </w:rPr>
        <w:t>: Will stakeholders be notified of published protocols?</w:t>
      </w:r>
      <w:r>
        <w:t xml:space="preserve"> [A: Department will advise as soon as possible once published – Registered by Prospero.] </w:t>
      </w:r>
    </w:p>
    <w:p w14:paraId="6EC01D30" w14:textId="1740EC8E" w:rsidR="00BC394E" w:rsidRDefault="00BC394E" w:rsidP="00BC394E">
      <w:pPr>
        <w:ind w:left="720"/>
      </w:pPr>
      <w:r w:rsidRPr="00BC394E">
        <w:rPr>
          <w:b/>
          <w:bCs/>
          <w:i/>
          <w:iCs/>
        </w:rPr>
        <w:t>Comment stakeholder</w:t>
      </w:r>
      <w:r w:rsidR="00553B1C" w:rsidRPr="00553B1C">
        <w:rPr>
          <w:i/>
          <w:iCs/>
        </w:rPr>
        <w:t>: Prospero currently significantly burdened with Protocol Registration due to amount of work experiencing</w:t>
      </w:r>
      <w:r w:rsidR="00553B1C">
        <w:t xml:space="preserve">. [A: No intention to delay </w:t>
      </w:r>
      <w:r>
        <w:t>registration of Protocol.]</w:t>
      </w:r>
    </w:p>
    <w:p w14:paraId="4A53EBB0" w14:textId="455B8ADD" w:rsidR="007E5C11" w:rsidRPr="00BC394E" w:rsidRDefault="00BC394E" w:rsidP="00BC394E">
      <w:pPr>
        <w:ind w:left="720"/>
      </w:pPr>
      <w:r w:rsidRPr="00BC394E">
        <w:rPr>
          <w:b/>
          <w:bCs/>
          <w:i/>
          <w:iCs/>
        </w:rPr>
        <w:t>Q stakeholder</w:t>
      </w:r>
      <w:r w:rsidRPr="00BC394E">
        <w:rPr>
          <w:i/>
          <w:iCs/>
        </w:rPr>
        <w:t xml:space="preserve">: </w:t>
      </w:r>
      <w:r>
        <w:rPr>
          <w:i/>
          <w:iCs/>
        </w:rPr>
        <w:t>Does this</w:t>
      </w:r>
      <w:r w:rsidRPr="00BC394E">
        <w:rPr>
          <w:i/>
          <w:iCs/>
        </w:rPr>
        <w:t xml:space="preserve"> mean Data extraction will commence before protocol </w:t>
      </w:r>
      <w:r>
        <w:rPr>
          <w:i/>
          <w:iCs/>
        </w:rPr>
        <w:t>will</w:t>
      </w:r>
      <w:r w:rsidRPr="00BC394E">
        <w:rPr>
          <w:i/>
          <w:iCs/>
        </w:rPr>
        <w:t xml:space="preserve"> be registered? </w:t>
      </w:r>
      <w:r>
        <w:rPr>
          <w:i/>
          <w:iCs/>
        </w:rPr>
        <w:t xml:space="preserve">Comment Stakeholder: This may need to be discussed with Expert Panel in terms of compliance with Prospero protocols. </w:t>
      </w:r>
      <w:r>
        <w:t xml:space="preserve">[A: Thank you for raising this issue. Department will raise with NHMRC]. </w:t>
      </w:r>
    </w:p>
    <w:p w14:paraId="34A47C06" w14:textId="34E8BEF0" w:rsidR="00183EEB" w:rsidRDefault="00BC394E" w:rsidP="00BC394E">
      <w:pPr>
        <w:pStyle w:val="Heading2"/>
      </w:pPr>
      <w:r>
        <w:t xml:space="preserve">4. Process </w:t>
      </w:r>
      <w:r w:rsidR="007437FC">
        <w:t xml:space="preserve">– data collection </w:t>
      </w:r>
      <w:r>
        <w:t xml:space="preserve">- Tranche 1 </w:t>
      </w:r>
      <w:r w:rsidR="007437FC">
        <w:t xml:space="preserve">Stakeholder organisations </w:t>
      </w:r>
    </w:p>
    <w:p w14:paraId="149F9D94" w14:textId="2B9E88EF" w:rsidR="00BC394E" w:rsidRDefault="007437FC" w:rsidP="00BC394E">
      <w:pPr>
        <w:pStyle w:val="ListParagraph"/>
        <w:numPr>
          <w:ilvl w:val="0"/>
          <w:numId w:val="12"/>
        </w:numPr>
      </w:pPr>
      <w:r>
        <w:t xml:space="preserve">Public invitation to submit evidence opened 27/1/2020 and closes 21/2/2020. </w:t>
      </w:r>
    </w:p>
    <w:p w14:paraId="7BF80805" w14:textId="50D1D543" w:rsidR="007437FC" w:rsidRDefault="007437FC" w:rsidP="00BC394E">
      <w:pPr>
        <w:pStyle w:val="ListParagraph"/>
        <w:numPr>
          <w:ilvl w:val="0"/>
          <w:numId w:val="12"/>
        </w:numPr>
      </w:pPr>
      <w:r>
        <w:t>Department will collate submissions and provide to NHMRC</w:t>
      </w:r>
    </w:p>
    <w:p w14:paraId="1CEF470E" w14:textId="3621E02C" w:rsidR="007437FC" w:rsidRDefault="007437FC" w:rsidP="00BC394E">
      <w:pPr>
        <w:pStyle w:val="ListParagraph"/>
        <w:numPr>
          <w:ilvl w:val="0"/>
          <w:numId w:val="12"/>
        </w:numPr>
      </w:pPr>
      <w:r>
        <w:t xml:space="preserve">This is an opportunity for stakeholders to independently identify and submit evidence but reviewers will be doing their own searches. </w:t>
      </w:r>
    </w:p>
    <w:p w14:paraId="4CA1D33F" w14:textId="3CCC99FB" w:rsidR="007437FC" w:rsidRDefault="007437FC" w:rsidP="00BC394E">
      <w:pPr>
        <w:pStyle w:val="ListParagraph"/>
        <w:numPr>
          <w:ilvl w:val="0"/>
          <w:numId w:val="12"/>
        </w:numPr>
      </w:pPr>
      <w:r>
        <w:lastRenderedPageBreak/>
        <w:t xml:space="preserve">Only additional evidence a) not included in original evidence base (earlier review) or b) excluded may be submitted. Note: If previously excluded stakeholders to provide a rational regarding why evidence should be considered.  </w:t>
      </w:r>
    </w:p>
    <w:p w14:paraId="103C177D" w14:textId="5FF1D4B4" w:rsidR="007437FC" w:rsidRDefault="007437FC" w:rsidP="00BC394E">
      <w:pPr>
        <w:pStyle w:val="ListParagraph"/>
        <w:numPr>
          <w:ilvl w:val="0"/>
          <w:numId w:val="12"/>
        </w:numPr>
      </w:pPr>
      <w:r>
        <w:t xml:space="preserve">Naturopathy includes lots of modalities, therefore NHMRC has done extra work to include all modalities in Protocols. Timelines for submission of evidence for Naturopathy been extended </w:t>
      </w:r>
      <w:proofErr w:type="gramStart"/>
      <w:r>
        <w:t>from  21</w:t>
      </w:r>
      <w:proofErr w:type="gramEnd"/>
      <w:r>
        <w:t xml:space="preserve">/1/2020 – 11/2/2020. </w:t>
      </w:r>
    </w:p>
    <w:p w14:paraId="5B79DD39" w14:textId="1E3C7F94" w:rsidR="007437FC" w:rsidRDefault="007437FC" w:rsidP="00BC394E">
      <w:pPr>
        <w:pStyle w:val="ListParagraph"/>
        <w:numPr>
          <w:ilvl w:val="0"/>
          <w:numId w:val="12"/>
        </w:numPr>
      </w:pPr>
      <w:r>
        <w:t>Submission of citations via provided Template is required. Abstract can be useful</w:t>
      </w:r>
      <w:r w:rsidR="00E5478E">
        <w:t xml:space="preserve">. </w:t>
      </w:r>
    </w:p>
    <w:p w14:paraId="39B05C44" w14:textId="09A7FD53" w:rsidR="00BC394E" w:rsidRDefault="007437FC" w:rsidP="007437FC">
      <w:pPr>
        <w:pStyle w:val="Heading2"/>
      </w:pPr>
      <w:r>
        <w:t>5. Process – Tranche 2 Stakeholder organisations</w:t>
      </w:r>
      <w:r w:rsidR="00E5478E">
        <w:t>:</w:t>
      </w:r>
      <w:r>
        <w:t xml:space="preserve"> </w:t>
      </w:r>
    </w:p>
    <w:p w14:paraId="43042176" w14:textId="4691D0D7" w:rsidR="004D20AB" w:rsidRDefault="004D20AB" w:rsidP="007437FC">
      <w:pPr>
        <w:pStyle w:val="ListParagraph"/>
        <w:numPr>
          <w:ilvl w:val="0"/>
          <w:numId w:val="13"/>
        </w:numPr>
      </w:pPr>
      <w:r>
        <w:t xml:space="preserve">Tranche 2 includes: Alexander technique, Aromatherapy, </w:t>
      </w:r>
      <w:r w:rsidRPr="004D20AB">
        <w:rPr>
          <w:highlight w:val="yellow"/>
        </w:rPr>
        <w:t>Bowen Therapy</w:t>
      </w:r>
      <w:r>
        <w:t xml:space="preserve">, Buteyko, Feldenkrais, Homeopathy, Iridology, Kinesiology, Reflexology and Rolfing. </w:t>
      </w:r>
    </w:p>
    <w:p w14:paraId="4D64A4F2" w14:textId="62892959" w:rsidR="00E5478E" w:rsidRDefault="00E5478E" w:rsidP="007437FC">
      <w:pPr>
        <w:pStyle w:val="ListParagraph"/>
        <w:numPr>
          <w:ilvl w:val="0"/>
          <w:numId w:val="13"/>
        </w:numPr>
      </w:pPr>
      <w:r>
        <w:t xml:space="preserve">Expert Panel started work considering draft research protocols for Tranche 2. </w:t>
      </w:r>
    </w:p>
    <w:p w14:paraId="39D1BAAC" w14:textId="68A88465" w:rsidR="007437FC" w:rsidRPr="007437FC" w:rsidRDefault="007437FC" w:rsidP="007437FC">
      <w:pPr>
        <w:pStyle w:val="ListParagraph"/>
        <w:numPr>
          <w:ilvl w:val="0"/>
          <w:numId w:val="13"/>
        </w:numPr>
      </w:pPr>
      <w:r>
        <w:t xml:space="preserve">Call for submissions from </w:t>
      </w:r>
      <w:r w:rsidR="00E5478E">
        <w:t xml:space="preserve">Tranche 2 </w:t>
      </w:r>
      <w:r>
        <w:t xml:space="preserve">stakeholders expected to go out </w:t>
      </w:r>
      <w:r w:rsidR="00E5478E">
        <w:t>around mid. May</w:t>
      </w:r>
      <w:r>
        <w:t xml:space="preserve"> 2020</w:t>
      </w:r>
      <w:r w:rsidR="00E5478E">
        <w:t xml:space="preserve"> with 4 weeks allowed for stakeholder organisation submission of evidence. </w:t>
      </w:r>
    </w:p>
    <w:p w14:paraId="2B1B431B" w14:textId="78026446" w:rsidR="00183EEB" w:rsidRDefault="00E5478E" w:rsidP="00E5478E">
      <w:pPr>
        <w:pStyle w:val="Heading2"/>
      </w:pPr>
      <w:r>
        <w:t xml:space="preserve">6. General discussion: </w:t>
      </w:r>
    </w:p>
    <w:p w14:paraId="0ECDD66E" w14:textId="0331926B" w:rsidR="00E5478E" w:rsidRDefault="00E5478E" w:rsidP="00E5478E">
      <w:r w:rsidRPr="00E5478E">
        <w:rPr>
          <w:i/>
          <w:iCs/>
        </w:rPr>
        <w:t xml:space="preserve">Q: Will timeframes and processes be put on Department Website, including response from Government? </w:t>
      </w:r>
      <w:r>
        <w:t xml:space="preserve">[A: Too soon for mapping out milestones and key dates. Once clearer will be put up on web – possibly after Mid. April]. </w:t>
      </w:r>
    </w:p>
    <w:p w14:paraId="75D4E3BC" w14:textId="71B45447" w:rsidR="00E5478E" w:rsidRDefault="00E5478E" w:rsidP="00E5478E">
      <w:r w:rsidRPr="00E5478E">
        <w:rPr>
          <w:i/>
          <w:iCs/>
        </w:rPr>
        <w:t>Q: Are there timelines for when work will be completed?</w:t>
      </w:r>
      <w:r>
        <w:t xml:space="preserve"> [A1: Not in a position to discuss at present. Rigor and robustness are central to this process, therefore still unclear on locking down dates on getting work done and reviews completed. A2: The Process must be done in a rigorous and robust </w:t>
      </w:r>
      <w:proofErr w:type="gramStart"/>
      <w:r>
        <w:t>manner,</w:t>
      </w:r>
      <w:proofErr w:type="gramEnd"/>
      <w:r>
        <w:t xml:space="preserve"> this may impact on timelines and therefore unable to determine clear dates at this time (i.e. before development process has been fully conducted)]. </w:t>
      </w:r>
    </w:p>
    <w:p w14:paraId="2E121A6F" w14:textId="07E7060E" w:rsidR="00E5478E" w:rsidRDefault="00E5478E" w:rsidP="00E5478E">
      <w:r>
        <w:rPr>
          <w:i/>
          <w:iCs/>
        </w:rPr>
        <w:t xml:space="preserve">Q: When will legislative process occur based on results of reviews? </w:t>
      </w:r>
      <w:r>
        <w:t xml:space="preserve">[A: </w:t>
      </w:r>
      <w:r w:rsidR="0038022D">
        <w:t xml:space="preserve">Can’t have a clear discussion on timelines at this stage – work has to be done [that will determine timelines]]. </w:t>
      </w:r>
    </w:p>
    <w:p w14:paraId="44DFED4D" w14:textId="0DDA574A" w:rsidR="0038022D" w:rsidRDefault="0038022D" w:rsidP="00E5478E">
      <w:r>
        <w:rPr>
          <w:i/>
          <w:iCs/>
        </w:rPr>
        <w:t xml:space="preserve">Q: Once work (report) leaves Department how soon could Government Respond? </w:t>
      </w:r>
      <w:r>
        <w:t xml:space="preserve">[A: Unclear but the Department conducting review will have responsibility for implementing any recommendations and will work with stakeholders to ensure practical responses]. </w:t>
      </w:r>
    </w:p>
    <w:p w14:paraId="0C53630A" w14:textId="5167C65D" w:rsidR="0038022D" w:rsidRDefault="0038022D" w:rsidP="00E5478E">
      <w:r>
        <w:rPr>
          <w:i/>
          <w:iCs/>
        </w:rPr>
        <w:t xml:space="preserve">Q: Will as list of those stakeholder organisations engaged in teleconference today (31/1/2020) be published? </w:t>
      </w:r>
      <w:r>
        <w:t xml:space="preserve">[A: Department will consider]. </w:t>
      </w:r>
    </w:p>
    <w:p w14:paraId="1531CFE7" w14:textId="2319A7FC" w:rsidR="0038022D" w:rsidRPr="0038022D" w:rsidRDefault="0038022D" w:rsidP="00E5478E">
      <w:r w:rsidRPr="0038022D">
        <w:rPr>
          <w:i/>
          <w:iCs/>
        </w:rPr>
        <w:t xml:space="preserve">Q: What will be admissible evidence? </w:t>
      </w:r>
      <w:r>
        <w:rPr>
          <w:i/>
          <w:iCs/>
        </w:rPr>
        <w:t>[</w:t>
      </w:r>
      <w:r w:rsidRPr="0038022D">
        <w:t>A:</w:t>
      </w:r>
      <w:r>
        <w:t xml:space="preserve"> </w:t>
      </w:r>
      <w:r w:rsidRPr="0038022D">
        <w:t>Not completed…]</w:t>
      </w:r>
      <w:r>
        <w:t xml:space="preserve"> TELECONFERENE DROPPED OUT PRIOR TO COMPLETION OF RESPONSE ABOUT ADMISSABLE EVIDENCE. </w:t>
      </w:r>
    </w:p>
    <w:p w14:paraId="5C9C4949" w14:textId="77777777" w:rsidR="0038022D" w:rsidRPr="0038022D" w:rsidRDefault="0038022D" w:rsidP="00E5478E">
      <w:pPr>
        <w:rPr>
          <w:i/>
          <w:iCs/>
        </w:rPr>
      </w:pPr>
    </w:p>
    <w:p w14:paraId="011AF620" w14:textId="77777777" w:rsidR="00E5478E" w:rsidRPr="00E5478E" w:rsidRDefault="00E5478E" w:rsidP="00E5478E">
      <w:pPr>
        <w:rPr>
          <w:i/>
          <w:iCs/>
        </w:rPr>
      </w:pPr>
    </w:p>
    <w:p w14:paraId="49C53571" w14:textId="77777777" w:rsidR="00846ACE" w:rsidRPr="00846ACE" w:rsidRDefault="00846ACE" w:rsidP="00846ACE"/>
    <w:p w14:paraId="6251C18C" w14:textId="77777777" w:rsidR="00142E51" w:rsidRPr="0091087D" w:rsidRDefault="00142E51" w:rsidP="00142E51">
      <w:pPr>
        <w:ind w:left="2880"/>
      </w:pPr>
    </w:p>
    <w:sectPr w:rsidR="00142E51" w:rsidRPr="0091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039E" w14:textId="77777777" w:rsidR="00C95AB2" w:rsidRDefault="00C95AB2" w:rsidP="0091087D">
      <w:pPr>
        <w:spacing w:after="0" w:line="240" w:lineRule="auto"/>
      </w:pPr>
      <w:r>
        <w:separator/>
      </w:r>
    </w:p>
  </w:endnote>
  <w:endnote w:type="continuationSeparator" w:id="0">
    <w:p w14:paraId="71B84D3B" w14:textId="77777777" w:rsidR="00C95AB2" w:rsidRDefault="00C95AB2" w:rsidP="0091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C5BD" w14:textId="77777777" w:rsidR="00C95AB2" w:rsidRDefault="00C95AB2" w:rsidP="0091087D">
      <w:pPr>
        <w:spacing w:after="0" w:line="240" w:lineRule="auto"/>
      </w:pPr>
      <w:r>
        <w:separator/>
      </w:r>
    </w:p>
  </w:footnote>
  <w:footnote w:type="continuationSeparator" w:id="0">
    <w:p w14:paraId="0FDFE961" w14:textId="77777777" w:rsidR="00C95AB2" w:rsidRDefault="00C95AB2" w:rsidP="0091087D">
      <w:pPr>
        <w:spacing w:after="0" w:line="240" w:lineRule="auto"/>
      </w:pPr>
      <w:r>
        <w:continuationSeparator/>
      </w:r>
    </w:p>
  </w:footnote>
  <w:footnote w:id="1">
    <w:p w14:paraId="150257D5" w14:textId="6218CC4C" w:rsidR="0091087D" w:rsidRDefault="0091087D">
      <w:pPr>
        <w:pStyle w:val="FootnoteText"/>
      </w:pPr>
      <w:r>
        <w:rPr>
          <w:rStyle w:val="FootnoteReference"/>
        </w:rPr>
        <w:footnoteRef/>
      </w:r>
      <w:r>
        <w:t xml:space="preserve"> It was not possible to record </w:t>
      </w:r>
      <w:r w:rsidR="00E720B7">
        <w:t>people’s</w:t>
      </w:r>
      <w:r>
        <w:t xml:space="preserve"> names or all of the organisations represented due to speed of introductions.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6133"/>
    <w:multiLevelType w:val="multilevel"/>
    <w:tmpl w:val="4AD66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75C338C"/>
    <w:multiLevelType w:val="hybridMultilevel"/>
    <w:tmpl w:val="97D41D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628DD"/>
    <w:multiLevelType w:val="hybridMultilevel"/>
    <w:tmpl w:val="2CD443BE"/>
    <w:lvl w:ilvl="0" w:tplc="299C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3F3F"/>
    <w:multiLevelType w:val="hybridMultilevel"/>
    <w:tmpl w:val="4CBC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7F8C"/>
    <w:multiLevelType w:val="multilevel"/>
    <w:tmpl w:val="FADC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73DFB"/>
    <w:multiLevelType w:val="hybridMultilevel"/>
    <w:tmpl w:val="66007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94B07"/>
    <w:multiLevelType w:val="hybridMultilevel"/>
    <w:tmpl w:val="229C02A2"/>
    <w:lvl w:ilvl="0" w:tplc="3B3CFE2A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DF2334B"/>
    <w:multiLevelType w:val="hybridMultilevel"/>
    <w:tmpl w:val="17BCE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F65"/>
    <w:multiLevelType w:val="hybridMultilevel"/>
    <w:tmpl w:val="2DA0B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55961"/>
    <w:multiLevelType w:val="hybridMultilevel"/>
    <w:tmpl w:val="6F2E9E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74F6D"/>
    <w:multiLevelType w:val="hybridMultilevel"/>
    <w:tmpl w:val="70CEF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6AE8"/>
    <w:multiLevelType w:val="hybridMultilevel"/>
    <w:tmpl w:val="66E0FC1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0C22599"/>
    <w:multiLevelType w:val="hybridMultilevel"/>
    <w:tmpl w:val="17AC6F0C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7B"/>
    <w:rsid w:val="00142E51"/>
    <w:rsid w:val="00183EEB"/>
    <w:rsid w:val="0038022D"/>
    <w:rsid w:val="0040360B"/>
    <w:rsid w:val="004C0270"/>
    <w:rsid w:val="004D20AB"/>
    <w:rsid w:val="004E7E2F"/>
    <w:rsid w:val="0053600F"/>
    <w:rsid w:val="00553B1C"/>
    <w:rsid w:val="007437FC"/>
    <w:rsid w:val="007E5C11"/>
    <w:rsid w:val="00846ACE"/>
    <w:rsid w:val="008D6572"/>
    <w:rsid w:val="0091087D"/>
    <w:rsid w:val="00955F96"/>
    <w:rsid w:val="00A25B7B"/>
    <w:rsid w:val="00A80540"/>
    <w:rsid w:val="00B7015C"/>
    <w:rsid w:val="00BC25E2"/>
    <w:rsid w:val="00BC394E"/>
    <w:rsid w:val="00C216E3"/>
    <w:rsid w:val="00C95AB2"/>
    <w:rsid w:val="00D71E37"/>
    <w:rsid w:val="00E1174F"/>
    <w:rsid w:val="00E5478E"/>
    <w:rsid w:val="00E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90DA"/>
  <w15:chartTrackingRefBased/>
  <w15:docId w15:val="{D3090F34-9B5A-47DA-9389-2344091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E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value">
    <w:name w:val="value"/>
    <w:basedOn w:val="DefaultParagraphFont"/>
    <w:rsid w:val="00A25B7B"/>
  </w:style>
  <w:style w:type="table" w:styleId="TableGrid">
    <w:name w:val="Table Grid"/>
    <w:basedOn w:val="TableNormal"/>
    <w:uiPriority w:val="39"/>
    <w:rsid w:val="00A25B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08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8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8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08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7E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ntreap-meeting-outcomes-16-january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BAAB-0CF8-46B1-BB2A-2A96346E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Beacham</dc:creator>
  <cp:keywords/>
  <dc:description/>
  <cp:lastModifiedBy>61438</cp:lastModifiedBy>
  <cp:revision>2</cp:revision>
  <cp:lastPrinted>2020-02-12T03:53:00Z</cp:lastPrinted>
  <dcterms:created xsi:type="dcterms:W3CDTF">2020-02-14T00:49:00Z</dcterms:created>
  <dcterms:modified xsi:type="dcterms:W3CDTF">2020-02-14T00:49:00Z</dcterms:modified>
</cp:coreProperties>
</file>